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2994745" cy="9025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24" cy="94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90E4C" w:rsidP="005E1360">
      <w:pPr>
        <w:spacing w:after="0" w:line="240" w:lineRule="auto"/>
        <w:jc w:val="both"/>
      </w:pPr>
      <w:r w:rsidRPr="00D75806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D33742" wp14:editId="5FFBAA21">
            <wp:simplePos x="0" y="0"/>
            <wp:positionH relativeFrom="column">
              <wp:posOffset>2537460</wp:posOffset>
            </wp:positionH>
            <wp:positionV relativeFrom="paragraph">
              <wp:posOffset>163195</wp:posOffset>
            </wp:positionV>
            <wp:extent cx="125730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hrough>
            <wp:docPr id="3" name="Рисунок 3" descr="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590E4C" w:rsidRDefault="00590E4C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  </w:t>
      </w:r>
      <w:r w:rsidRPr="00F3361B">
        <w:rPr>
          <w:b/>
        </w:rPr>
        <w:t>ПРЕСС-РЕЛИЗ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90E4C" w:rsidRPr="00590E4C" w:rsidTr="003F615D">
        <w:trPr>
          <w:trHeight w:val="747"/>
        </w:trPr>
        <w:tc>
          <w:tcPr>
            <w:tcW w:w="9571" w:type="dxa"/>
            <w:shd w:val="clear" w:color="auto" w:fill="auto"/>
          </w:tcPr>
          <w:p w:rsidR="00590E4C" w:rsidRPr="00590E4C" w:rsidRDefault="00590E4C" w:rsidP="00236252">
            <w:pPr>
              <w:spacing w:before="120" w:after="120" w:line="288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90E4C">
              <w:rPr>
                <w:rFonts w:cs="Times New Roman"/>
                <w:b/>
                <w:sz w:val="24"/>
                <w:szCs w:val="24"/>
              </w:rPr>
              <w:t xml:space="preserve">Самую массовую смену в </w:t>
            </w:r>
            <w:r w:rsidR="006C750C">
              <w:rPr>
                <w:rFonts w:cs="Times New Roman"/>
                <w:b/>
                <w:sz w:val="24"/>
                <w:szCs w:val="24"/>
              </w:rPr>
              <w:t>«</w:t>
            </w:r>
            <w:r w:rsidRPr="00590E4C">
              <w:rPr>
                <w:rFonts w:cs="Times New Roman"/>
                <w:b/>
                <w:sz w:val="24"/>
                <w:szCs w:val="24"/>
              </w:rPr>
              <w:t>Артеке</w:t>
            </w:r>
            <w:r w:rsidR="006C750C">
              <w:rPr>
                <w:rFonts w:cs="Times New Roman"/>
                <w:b/>
                <w:sz w:val="24"/>
                <w:szCs w:val="24"/>
              </w:rPr>
              <w:t>»</w:t>
            </w:r>
            <w:r w:rsidRPr="00590E4C">
              <w:rPr>
                <w:rFonts w:cs="Times New Roman"/>
                <w:b/>
                <w:sz w:val="24"/>
                <w:szCs w:val="24"/>
              </w:rPr>
              <w:t xml:space="preserve"> будут обслуживать 50 почтовых комиссаров из 25 регионов России</w:t>
            </w:r>
            <w:bookmarkStart w:id="0" w:name="_GoBack"/>
            <w:bookmarkEnd w:id="0"/>
          </w:p>
        </w:tc>
      </w:tr>
    </w:tbl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b/>
          <w:sz w:val="24"/>
          <w:szCs w:val="24"/>
        </w:rPr>
      </w:pPr>
      <w:r w:rsidRPr="00590E4C">
        <w:rPr>
          <w:rFonts w:cs="Times New Roman"/>
          <w:b/>
          <w:sz w:val="24"/>
          <w:szCs w:val="24"/>
        </w:rPr>
        <w:t xml:space="preserve">Это стало возможным по итогам двух тематических конкурсов, объявленных Почтой России – конкурса писем «Почта, я хочу в </w:t>
      </w:r>
      <w:r w:rsidR="00236252">
        <w:rPr>
          <w:rFonts w:cs="Times New Roman"/>
          <w:b/>
          <w:sz w:val="24"/>
          <w:szCs w:val="24"/>
        </w:rPr>
        <w:t>«</w:t>
      </w:r>
      <w:r w:rsidRPr="00590E4C">
        <w:rPr>
          <w:rFonts w:cs="Times New Roman"/>
          <w:b/>
          <w:sz w:val="24"/>
          <w:szCs w:val="24"/>
        </w:rPr>
        <w:t>Артек!» и онлайн-конкурса «</w:t>
      </w:r>
      <w:proofErr w:type="spellStart"/>
      <w:r w:rsidRPr="00590E4C">
        <w:rPr>
          <w:rFonts w:cs="Times New Roman"/>
          <w:b/>
          <w:sz w:val="24"/>
          <w:szCs w:val="24"/>
        </w:rPr>
        <w:t>ПостОпочте</w:t>
      </w:r>
      <w:proofErr w:type="spellEnd"/>
      <w:r w:rsidRPr="00590E4C">
        <w:rPr>
          <w:rFonts w:cs="Times New Roman"/>
          <w:b/>
          <w:sz w:val="24"/>
          <w:szCs w:val="24"/>
        </w:rPr>
        <w:t>».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>Международный детский центр «Артек» и Почта России продолжает реализацию совместной программы «Дверь синего цвета» по созданию в Артеке единственной на сегодняшний день в мире детской почты.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 xml:space="preserve">Почта работает между лагерями </w:t>
      </w:r>
      <w:r w:rsidR="00236252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236252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 (всего их на территории </w:t>
      </w:r>
      <w:r w:rsidR="00236252">
        <w:rPr>
          <w:rFonts w:cs="Times New Roman"/>
          <w:sz w:val="24"/>
          <w:szCs w:val="24"/>
        </w:rPr>
        <w:t>М</w:t>
      </w:r>
      <w:r w:rsidRPr="00590E4C">
        <w:rPr>
          <w:rFonts w:cs="Times New Roman"/>
          <w:sz w:val="24"/>
          <w:szCs w:val="24"/>
        </w:rPr>
        <w:t xml:space="preserve">еждународного детского центра девять) и осуществляет прием, обработку и доставку трех видов письменных почтовых отправлений – «Открытки-бумеранга», «Письма другу» и «Письма будущему </w:t>
      </w:r>
      <w:proofErr w:type="spellStart"/>
      <w:r w:rsidRPr="00590E4C">
        <w:rPr>
          <w:rFonts w:cs="Times New Roman"/>
          <w:sz w:val="24"/>
          <w:szCs w:val="24"/>
        </w:rPr>
        <w:t>артековцу</w:t>
      </w:r>
      <w:proofErr w:type="spellEnd"/>
      <w:r w:rsidRPr="00590E4C">
        <w:rPr>
          <w:rFonts w:cs="Times New Roman"/>
          <w:sz w:val="24"/>
          <w:szCs w:val="24"/>
        </w:rPr>
        <w:t xml:space="preserve">» </w:t>
      </w:r>
      <w:r w:rsidR="00236252">
        <w:rPr>
          <w:rFonts w:cs="Times New Roman"/>
          <w:sz w:val="24"/>
          <w:szCs w:val="24"/>
        </w:rPr>
        <w:t xml:space="preserve">– </w:t>
      </w:r>
      <w:r w:rsidRPr="00590E4C">
        <w:rPr>
          <w:rFonts w:cs="Times New Roman"/>
          <w:sz w:val="24"/>
          <w:szCs w:val="24"/>
        </w:rPr>
        <w:t>и небольших посылок с подарками и сувенирами.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 xml:space="preserve">Все виды почтовых отправлений были разработаны с учетом традиций, сложившихся в </w:t>
      </w:r>
      <w:r w:rsidR="00236252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Артеке</w:t>
      </w:r>
      <w:r w:rsidR="00236252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 за многие годы. «Открытка-бумеранг» </w:t>
      </w:r>
      <w:r w:rsidR="00EA01D4">
        <w:rPr>
          <w:rFonts w:cs="Times New Roman"/>
          <w:sz w:val="24"/>
          <w:szCs w:val="24"/>
        </w:rPr>
        <w:t xml:space="preserve">– </w:t>
      </w:r>
      <w:r w:rsidRPr="00590E4C">
        <w:rPr>
          <w:rFonts w:cs="Times New Roman"/>
          <w:sz w:val="24"/>
          <w:szCs w:val="24"/>
        </w:rPr>
        <w:t xml:space="preserve">почтовое отправление, которое проходит все лагеря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 по очереди</w:t>
      </w:r>
      <w:r w:rsidR="00EA01D4">
        <w:rPr>
          <w:rFonts w:cs="Times New Roman"/>
          <w:sz w:val="24"/>
          <w:szCs w:val="24"/>
        </w:rPr>
        <w:t>,</w:t>
      </w:r>
      <w:r w:rsidRPr="00590E4C">
        <w:rPr>
          <w:rFonts w:cs="Times New Roman"/>
          <w:sz w:val="24"/>
          <w:szCs w:val="24"/>
        </w:rPr>
        <w:t xml:space="preserve"> и на котором любой желающий может написать свое послание отправителю. Потом открытка возвращается в исходную точку (отсюда и название – «бумеранг») и становится памятным сувениром для ребенка.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 xml:space="preserve">«Письмо другу» артековец может отправить тому, с кем познакомился по дороге в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, но при распределении друзья оказались в разных лагерях и видятся не так часто, как хотелось бы. Эта форма «связи», по мнению сотрудников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>, наиболее востребована среди детей.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 xml:space="preserve">«Письмо будущему </w:t>
      </w:r>
      <w:proofErr w:type="spellStart"/>
      <w:r w:rsidRPr="00590E4C">
        <w:rPr>
          <w:rFonts w:cs="Times New Roman"/>
          <w:sz w:val="24"/>
          <w:szCs w:val="24"/>
        </w:rPr>
        <w:t>артековцу</w:t>
      </w:r>
      <w:proofErr w:type="spellEnd"/>
      <w:r w:rsidRPr="00590E4C">
        <w:rPr>
          <w:rFonts w:cs="Times New Roman"/>
          <w:sz w:val="24"/>
          <w:szCs w:val="24"/>
        </w:rPr>
        <w:t xml:space="preserve">» </w:t>
      </w:r>
      <w:r w:rsidR="006C750C" w:rsidRPr="00590E4C">
        <w:rPr>
          <w:rFonts w:cs="Times New Roman"/>
          <w:sz w:val="24"/>
          <w:szCs w:val="24"/>
        </w:rPr>
        <w:t>–</w:t>
      </w:r>
      <w:r w:rsidRPr="00590E4C">
        <w:rPr>
          <w:rFonts w:cs="Times New Roman"/>
          <w:sz w:val="24"/>
          <w:szCs w:val="24"/>
        </w:rPr>
        <w:t xml:space="preserve"> давняя и популярная традиция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. Дети пишут «секретные послания» тому, кто приедет после них, и в следующей артековской смене будет жить в том же корпусе, в той же комнате, что и автор письма. В письме артековцы делятся с «преемниками» впечатлениями от пребывания в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Артеке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, разнообразными маленькими хитростями и предлагают стать друзьями по переписке. Теперь такие письма можно будет передать на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Почту 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>, а та доставит его адресату в следующей смене.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sz w:val="24"/>
          <w:szCs w:val="24"/>
        </w:rPr>
      </w:pPr>
      <w:r w:rsidRPr="00590E4C">
        <w:rPr>
          <w:rFonts w:cs="Times New Roman"/>
          <w:sz w:val="24"/>
          <w:szCs w:val="24"/>
        </w:rPr>
        <w:t xml:space="preserve">Артековцы уже отправили и получили через свою почту более 1000 писем, открыток и посылок. Все почтовые услуги на территории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 предоставляются бесплатно. Почтовая атрибутика и экипировка почтовых комиссаров изготовлена при поддержке генерального спонсора проекта – Группы Компаний </w:t>
      </w:r>
      <w:r w:rsidRPr="00590E4C">
        <w:rPr>
          <w:rFonts w:cs="Times New Roman"/>
          <w:sz w:val="24"/>
          <w:szCs w:val="24"/>
          <w:lang w:val="en-US"/>
        </w:rPr>
        <w:t>Cotton</w:t>
      </w:r>
      <w:r w:rsidRPr="00590E4C">
        <w:rPr>
          <w:rFonts w:cs="Times New Roman"/>
          <w:sz w:val="24"/>
          <w:szCs w:val="24"/>
        </w:rPr>
        <w:t xml:space="preserve"> </w:t>
      </w:r>
      <w:r w:rsidRPr="00590E4C">
        <w:rPr>
          <w:rFonts w:cs="Times New Roman"/>
          <w:sz w:val="24"/>
          <w:szCs w:val="24"/>
          <w:lang w:val="en-US"/>
        </w:rPr>
        <w:t>Club</w:t>
      </w:r>
      <w:r w:rsidRPr="00590E4C">
        <w:rPr>
          <w:rFonts w:cs="Times New Roman"/>
          <w:sz w:val="24"/>
          <w:szCs w:val="24"/>
        </w:rPr>
        <w:t>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0E4C">
        <w:rPr>
          <w:rFonts w:cs="Times New Roman"/>
          <w:sz w:val="24"/>
          <w:szCs w:val="24"/>
        </w:rPr>
        <w:t xml:space="preserve">Приемом, обработкой и доставкой почтовых отправлений внутри </w:t>
      </w:r>
      <w:r w:rsidR="00EA01D4">
        <w:rPr>
          <w:rFonts w:cs="Times New Roman"/>
          <w:sz w:val="24"/>
          <w:szCs w:val="24"/>
        </w:rPr>
        <w:t>«</w:t>
      </w:r>
      <w:r w:rsidRPr="00590E4C">
        <w:rPr>
          <w:rFonts w:cs="Times New Roman"/>
          <w:sz w:val="24"/>
          <w:szCs w:val="24"/>
        </w:rPr>
        <w:t>Артека</w:t>
      </w:r>
      <w:r w:rsidR="00EA01D4">
        <w:rPr>
          <w:rFonts w:cs="Times New Roman"/>
          <w:sz w:val="24"/>
          <w:szCs w:val="24"/>
        </w:rPr>
        <w:t>»</w:t>
      </w:r>
      <w:r w:rsidRPr="00590E4C">
        <w:rPr>
          <w:rFonts w:cs="Times New Roman"/>
          <w:sz w:val="24"/>
          <w:szCs w:val="24"/>
        </w:rPr>
        <w:t xml:space="preserve"> в ходе девятой, самой массовой смены, которая стартует 7 августа, будут заниматься победители двух творческих конкурсов Почты России, объявленных в середине апреля 2018 года и завершившихся 18 июня. Вот имена новых почтовых комиссаров: </w:t>
      </w:r>
      <w:r w:rsidRPr="00590E4C">
        <w:rPr>
          <w:rFonts w:eastAsia="Times New Roman" w:cs="Times New Roman"/>
          <w:sz w:val="24"/>
          <w:szCs w:val="24"/>
          <w:lang w:eastAsia="ru-RU"/>
        </w:rPr>
        <w:t xml:space="preserve">Жанна Александрова, </w:t>
      </w:r>
      <w:r w:rsidRPr="00590E4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Арсений Аверин, Марк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Амоков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Башарин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Артем Белобородов, Алан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Битешев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Влада Боброва, Анна Богатырева, Анастасия Вагина, Надежда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Ворошина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Николай Гаркуша, Артём Герасимов, Илья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Грибачёв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Александр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Гусеев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Ярослав Долженко, Илья Жеребятин, Александр Жидков, Полина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Зелина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Иван Иванов, София Иващенко, Полина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Кабаргина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Арсений Караулов, Валерия Карпова, Анастасия Кириченко, Елизавета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Комолова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Денис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Коротин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Кирилл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Костецкий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Елизавета Кудряшова, Виталий Левчук, Алина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Майоркина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Мария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Милихина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Илья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Музыков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Екатерина Пасечник, Анна Першина, Изабелла Пономарева, Виктория Приходько, Игорь Прусов, Ульяна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Раева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Никита Родин, Глеб Савенков, Виктория Ткач, Константин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Тороп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Дарья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Тюнина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Карина Филимонова, Мария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Фленова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Алиса Хохлова, Андрей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Чекусов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Ирина Шадрина, Анастасия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Этенко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, Данила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Ямкин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>.</w:t>
      </w:r>
    </w:p>
    <w:p w:rsidR="00590E4C" w:rsidRPr="00590E4C" w:rsidRDefault="00590E4C" w:rsidP="00590E4C">
      <w:pPr>
        <w:spacing w:before="120" w:after="120" w:line="259" w:lineRule="auto"/>
        <w:jc w:val="both"/>
        <w:rPr>
          <w:rFonts w:cs="Times New Roman"/>
          <w:b/>
          <w:sz w:val="24"/>
          <w:szCs w:val="24"/>
        </w:rPr>
      </w:pPr>
      <w:r w:rsidRPr="00590E4C">
        <w:rPr>
          <w:rFonts w:cs="Times New Roman"/>
          <w:sz w:val="24"/>
          <w:szCs w:val="24"/>
        </w:rPr>
        <w:t>Одновременно определился состав корпуса почтовых комиссаров, которые будут осуществлять почтовый обмен между лагерями Артека в ходе 8 смены – это победители очередного этапа конкурса «Одна почта – одна страна!», в котором к</w:t>
      </w:r>
      <w:r w:rsidRPr="00590E4C">
        <w:rPr>
          <w:rFonts w:eastAsia="Times New Roman" w:cs="Times New Roman"/>
          <w:sz w:val="24"/>
          <w:szCs w:val="24"/>
        </w:rPr>
        <w:t xml:space="preserve">аждый месяц в течение 2018 года разыгрываются бесплатные «комиссарские» путевки на очередную смену в Артеке. С 14 июля по 03 августа прием, обработку и доставку артековской почты будут осуществлять </w:t>
      </w:r>
      <w:r w:rsidRPr="00590E4C">
        <w:rPr>
          <w:rFonts w:eastAsia="Times New Roman" w:cs="Times New Roman"/>
          <w:sz w:val="24"/>
          <w:szCs w:val="24"/>
          <w:lang w:eastAsia="ru-RU"/>
        </w:rPr>
        <w:t xml:space="preserve">Мария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Барсукова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 из Ижевска, Анастасия Бауск из Красноярска, Корнил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Боробов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 из Забайкалья, Богдан Васин из Пензы, Анна Ерохина из Иванов</w:t>
      </w:r>
      <w:r w:rsidR="00EA01D4">
        <w:rPr>
          <w:rFonts w:eastAsia="Times New Roman" w:cs="Times New Roman"/>
          <w:sz w:val="24"/>
          <w:szCs w:val="24"/>
          <w:lang w:eastAsia="ru-RU"/>
        </w:rPr>
        <w:t>а</w:t>
      </w:r>
      <w:r w:rsidRPr="00590E4C">
        <w:rPr>
          <w:rFonts w:eastAsia="Times New Roman" w:cs="Times New Roman"/>
          <w:sz w:val="24"/>
          <w:szCs w:val="24"/>
          <w:lang w:eastAsia="ru-RU"/>
        </w:rPr>
        <w:t xml:space="preserve">, Вероника </w:t>
      </w:r>
      <w:r w:rsidRPr="00590E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Кукушкина из Хабаровска, Ангелина </w:t>
      </w:r>
      <w:r w:rsidRPr="00590E4C">
        <w:rPr>
          <w:rFonts w:eastAsia="Times New Roman" w:cs="Times New Roman"/>
          <w:sz w:val="24"/>
          <w:szCs w:val="24"/>
          <w:lang w:eastAsia="ru-RU"/>
        </w:rPr>
        <w:t xml:space="preserve">Рахимова из города Дюртюли (Башкортостан), Анна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Тутушева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 из Бийска (Алтайский край) и Ли </w:t>
      </w:r>
      <w:proofErr w:type="spellStart"/>
      <w:r w:rsidRPr="00590E4C">
        <w:rPr>
          <w:rFonts w:eastAsia="Times New Roman" w:cs="Times New Roman"/>
          <w:sz w:val="24"/>
          <w:szCs w:val="24"/>
          <w:lang w:eastAsia="ru-RU"/>
        </w:rPr>
        <w:t>Чжан</w:t>
      </w:r>
      <w:proofErr w:type="spellEnd"/>
      <w:r w:rsidRPr="00590E4C">
        <w:rPr>
          <w:rFonts w:eastAsia="Times New Roman" w:cs="Times New Roman"/>
          <w:sz w:val="24"/>
          <w:szCs w:val="24"/>
          <w:lang w:eastAsia="ru-RU"/>
        </w:rPr>
        <w:t xml:space="preserve"> из Хабаровска.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rFonts w:cs="Times New Roman"/>
          <w:b/>
          <w:i/>
          <w:sz w:val="24"/>
          <w:szCs w:val="24"/>
        </w:rPr>
      </w:pPr>
      <w:r w:rsidRPr="00590E4C">
        <w:rPr>
          <w:rFonts w:cs="Times New Roman"/>
          <w:b/>
          <w:i/>
          <w:sz w:val="24"/>
          <w:szCs w:val="24"/>
        </w:rPr>
        <w:t>Информационная справка</w:t>
      </w:r>
    </w:p>
    <w:p w:rsidR="00590E4C" w:rsidRPr="00590E4C" w:rsidRDefault="00590E4C" w:rsidP="00590E4C">
      <w:pPr>
        <w:spacing w:before="120" w:after="120" w:line="288" w:lineRule="auto"/>
        <w:jc w:val="both"/>
        <w:rPr>
          <w:bCs/>
          <w:i/>
          <w:iCs/>
          <w:sz w:val="24"/>
          <w:szCs w:val="24"/>
        </w:rPr>
      </w:pPr>
      <w:r w:rsidRPr="00590E4C">
        <w:rPr>
          <w:b/>
          <w:bCs/>
          <w:i/>
          <w:iCs/>
          <w:sz w:val="24"/>
          <w:szCs w:val="24"/>
        </w:rPr>
        <w:t xml:space="preserve">Почта России </w:t>
      </w:r>
      <w:r w:rsidRPr="00590E4C">
        <w:rPr>
          <w:bCs/>
          <w:i/>
          <w:iCs/>
          <w:sz w:val="24"/>
          <w:szCs w:val="24"/>
        </w:rPr>
        <w:t>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bCs/>
          <w:i/>
          <w:iCs/>
          <w:sz w:val="24"/>
          <w:szCs w:val="24"/>
        </w:rPr>
      </w:pPr>
      <w:r w:rsidRPr="00590E4C">
        <w:rPr>
          <w:bCs/>
          <w:i/>
          <w:iCs/>
          <w:sz w:val="24"/>
          <w:szCs w:val="24"/>
        </w:rPr>
        <w:t>Ежегодно Почта России принимает около 2,5 млрд писем и счетов (из них 1 млрд – от госорганов) и обрабатывает более 365 млн посылок. Почта России обслуживает около 20 млн подписчиков в России, которым доставляется около 1 млрд экземпляров печатных изданий в год. Ежегодный объем транзакций, которые проходят через Почту России, составляет около 3,2 триллиона рублей (пенсии, платежи и переводы).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i/>
          <w:iCs/>
          <w:sz w:val="24"/>
          <w:szCs w:val="24"/>
        </w:rPr>
      </w:pPr>
      <w:r w:rsidRPr="00590E4C">
        <w:rPr>
          <w:bCs/>
          <w:i/>
          <w:iCs/>
          <w:sz w:val="24"/>
          <w:szCs w:val="24"/>
        </w:rPr>
        <w:t>Выручка Почты России от операционной деятельности в 2017 году выросла на 8,1% (13,3 млрд рублей) и составила 178,1 млрд рублей (164,8 млрд рублей в 2016 году). Доходы Почты России увеличились по всем направлениям бизнеса. Фактическая чистая доход Почты России на 28% превысила плановые показатели и составила 758 млн рублей.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rFonts w:cs="Times New Roman"/>
          <w:i/>
          <w:sz w:val="24"/>
          <w:szCs w:val="24"/>
        </w:rPr>
      </w:pPr>
      <w:r w:rsidRPr="00590E4C">
        <w:rPr>
          <w:rFonts w:cs="Times New Roman"/>
          <w:b/>
          <w:i/>
          <w:sz w:val="24"/>
          <w:szCs w:val="24"/>
        </w:rPr>
        <w:t>Международный детский центр «Артек»</w:t>
      </w:r>
      <w:r w:rsidRPr="00590E4C">
        <w:rPr>
          <w:sz w:val="24"/>
          <w:szCs w:val="24"/>
        </w:rPr>
        <w:t xml:space="preserve"> </w:t>
      </w:r>
      <w:r w:rsidRPr="00590E4C">
        <w:rPr>
          <w:i/>
          <w:sz w:val="24"/>
          <w:szCs w:val="24"/>
        </w:rPr>
        <w:t>–</w:t>
      </w:r>
      <w:r w:rsidRPr="00590E4C">
        <w:rPr>
          <w:rFonts w:cs="Times New Roman"/>
          <w:i/>
          <w:sz w:val="24"/>
          <w:szCs w:val="24"/>
        </w:rPr>
        <w:t xml:space="preserve"> Федеральное государственное бюджетное образовательное учреждение (ФГБОУ), </w:t>
      </w:r>
      <w:r w:rsidR="00EA01D4">
        <w:rPr>
          <w:rFonts w:cs="Times New Roman"/>
          <w:i/>
          <w:sz w:val="24"/>
          <w:szCs w:val="24"/>
        </w:rPr>
        <w:t>которое находится в подчинении М</w:t>
      </w:r>
      <w:r w:rsidRPr="00590E4C">
        <w:rPr>
          <w:rFonts w:cs="Times New Roman"/>
          <w:i/>
          <w:sz w:val="24"/>
          <w:szCs w:val="24"/>
        </w:rPr>
        <w:t xml:space="preserve">инистерства образования </w:t>
      </w:r>
      <w:r w:rsidR="00EA01D4">
        <w:rPr>
          <w:rFonts w:cs="Times New Roman"/>
          <w:i/>
          <w:sz w:val="24"/>
          <w:szCs w:val="24"/>
        </w:rPr>
        <w:t xml:space="preserve">и </w:t>
      </w:r>
      <w:r w:rsidRPr="00590E4C">
        <w:rPr>
          <w:rFonts w:cs="Times New Roman"/>
          <w:i/>
          <w:sz w:val="24"/>
          <w:szCs w:val="24"/>
        </w:rPr>
        <w:t xml:space="preserve">науки Российской Федерации. </w:t>
      </w:r>
    </w:p>
    <w:p w:rsidR="00590E4C" w:rsidRPr="00590E4C" w:rsidRDefault="00590E4C" w:rsidP="00590E4C">
      <w:pPr>
        <w:spacing w:before="120" w:after="120" w:line="288" w:lineRule="auto"/>
        <w:jc w:val="both"/>
        <w:rPr>
          <w:rFonts w:cs="Times New Roman"/>
          <w:i/>
          <w:sz w:val="24"/>
          <w:szCs w:val="24"/>
        </w:rPr>
      </w:pPr>
      <w:r w:rsidRPr="00590E4C">
        <w:rPr>
          <w:rFonts w:cs="Times New Roman"/>
          <w:i/>
          <w:sz w:val="24"/>
          <w:szCs w:val="24"/>
        </w:rPr>
        <w:t xml:space="preserve">В 2000 году в Токио «Артек» </w:t>
      </w:r>
      <w:r w:rsidRPr="00590E4C">
        <w:rPr>
          <w:rFonts w:eastAsia="Times New Roman" w:cs="Times New Roman"/>
          <w:i/>
          <w:sz w:val="24"/>
          <w:szCs w:val="24"/>
          <w:lang w:eastAsia="ru-RU"/>
        </w:rPr>
        <w:t>признан лучшим детским центром среди 100 тысяч детских лагерей из 50 стран мира.</w:t>
      </w:r>
      <w:r w:rsidRPr="00590E4C">
        <w:rPr>
          <w:rFonts w:cs="Times New Roman"/>
          <w:i/>
          <w:sz w:val="24"/>
          <w:szCs w:val="24"/>
        </w:rPr>
        <w:t xml:space="preserve"> В 2015 году «Артек» отметил свой 90-летний юбилей. За всю историю детского центра здесь побывало около 1,5 млн детей из более 140 стран мира.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90E4C">
        <w:rPr>
          <w:rFonts w:eastAsia="Times New Roman" w:cs="Times New Roman"/>
          <w:i/>
          <w:sz w:val="24"/>
          <w:szCs w:val="24"/>
          <w:lang w:eastAsia="ru-RU"/>
        </w:rPr>
        <w:t>Новая концепция развития центра «Артек 2.0. Перезагрузка» предусматривает практически полную реконструкцию «Артека» к 2020 году, превращение его в лучшую международную площадку по созданию, апробации и внедрению инновационных форм общего и дополнительного образования, оздоровлению и отдыху детей.</w:t>
      </w:r>
    </w:p>
    <w:p w:rsidR="00590E4C" w:rsidRPr="00590E4C" w:rsidRDefault="00590E4C" w:rsidP="00590E4C">
      <w:pPr>
        <w:spacing w:before="120" w:after="120" w:line="288" w:lineRule="auto"/>
        <w:jc w:val="both"/>
        <w:rPr>
          <w:rFonts w:cs="Times New Roman"/>
          <w:i/>
          <w:sz w:val="24"/>
          <w:szCs w:val="24"/>
        </w:rPr>
      </w:pPr>
      <w:r w:rsidRPr="00590E4C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В марте 2015 года правительство РФ утвердило Программу развития «Артека» на 2015-2020 годы. Экспертная комиссия ФГБОУ «МДЦ «Артек» присвоила программам Почты России высокий </w:t>
      </w:r>
      <w:proofErr w:type="gramStart"/>
      <w:r w:rsidRPr="00590E4C">
        <w:rPr>
          <w:rFonts w:eastAsia="Times New Roman" w:cs="Times New Roman"/>
          <w:i/>
          <w:sz w:val="24"/>
          <w:szCs w:val="24"/>
          <w:lang w:eastAsia="ru-RU"/>
        </w:rPr>
        <w:t xml:space="preserve">рейтинг </w:t>
      </w:r>
      <w:r w:rsidR="00EA01D4">
        <w:rPr>
          <w:rFonts w:eastAsia="Times New Roman" w:cs="Times New Roman"/>
          <w:i/>
          <w:sz w:val="24"/>
          <w:szCs w:val="24"/>
          <w:lang w:eastAsia="ru-RU"/>
        </w:rPr>
        <w:t xml:space="preserve"> на</w:t>
      </w:r>
      <w:proofErr w:type="gramEnd"/>
      <w:r w:rsidRPr="00590E4C">
        <w:rPr>
          <w:rFonts w:eastAsia="Times New Roman" w:cs="Times New Roman"/>
          <w:i/>
          <w:sz w:val="24"/>
          <w:szCs w:val="24"/>
          <w:lang w:eastAsia="ru-RU"/>
        </w:rPr>
        <w:t xml:space="preserve"> конкурсе дополнительных общеразвивающих программ, состоявшемся 5-7 октября 2017 года и рекомендовала их к реализации в 2018 году.</w:t>
      </w:r>
    </w:p>
    <w:p w:rsidR="00590E4C" w:rsidRPr="00590E4C" w:rsidRDefault="00590E4C" w:rsidP="00590E4C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590E4C">
        <w:rPr>
          <w:rFonts w:eastAsia="Times New Roman" w:cs="Times New Roman"/>
          <w:i/>
          <w:sz w:val="24"/>
          <w:szCs w:val="24"/>
          <w:lang w:eastAsia="ru-RU"/>
        </w:rPr>
        <w:t>С 2015 года путевка в «Артек» является поощрением для ребенка. Главное условие – достижения ребенка в какой-либо области в учебе, спорте, творчестве.</w:t>
      </w:r>
    </w:p>
    <w:p w:rsidR="00590E4C" w:rsidRPr="00590E4C" w:rsidRDefault="00590E4C" w:rsidP="00590E4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0E4C">
        <w:rPr>
          <w:rFonts w:eastAsia="Times New Roman" w:cs="Times New Roman"/>
          <w:i/>
          <w:sz w:val="24"/>
          <w:szCs w:val="24"/>
          <w:lang w:eastAsia="ru-RU"/>
        </w:rPr>
        <w:t>В 2018 году в «Артеке» запланировано 15 тематических смен. Продолжительность смены – 21 день. В детский центр приедут около 3</w:t>
      </w:r>
      <w:r w:rsidR="00EA01D4">
        <w:rPr>
          <w:rFonts w:eastAsia="Times New Roman" w:cs="Times New Roman"/>
          <w:i/>
          <w:sz w:val="24"/>
          <w:szCs w:val="24"/>
          <w:lang w:eastAsia="ru-RU"/>
        </w:rPr>
        <w:t>0</w:t>
      </w:r>
      <w:r w:rsidRPr="00590E4C">
        <w:rPr>
          <w:rFonts w:eastAsia="Times New Roman" w:cs="Times New Roman"/>
          <w:i/>
          <w:sz w:val="24"/>
          <w:szCs w:val="24"/>
          <w:lang w:eastAsia="ru-RU"/>
        </w:rPr>
        <w:t xml:space="preserve"> тыс. детей. После завершения реконструкции к 2020 году «Артек» будет принимать более 40 тыс. детей в год.</w:t>
      </w:r>
    </w:p>
    <w:p w:rsidR="00590E4C" w:rsidRDefault="00590E4C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451B2" w:rsidRPr="006C750C" w:rsidRDefault="00D451B2" w:rsidP="00D451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  <w:r w:rsidR="00590E4C" w:rsidRPr="00590E4C">
        <w:rPr>
          <w:b/>
        </w:rPr>
        <w:t xml:space="preserve"> </w:t>
      </w:r>
    </w:p>
    <w:p w:rsidR="00590E4C" w:rsidRPr="006C750C" w:rsidRDefault="00590E4C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6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Default="00D451B2" w:rsidP="00D451B2">
      <w:pPr>
        <w:pStyle w:val="a3"/>
        <w:jc w:val="both"/>
        <w:rPr>
          <w:rStyle w:val="a7"/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7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590E4C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  <w:r w:rsidRPr="00590E4C">
        <w:rPr>
          <w:rFonts w:eastAsia="Times New Roman" w:cs="Arial"/>
          <w:b/>
          <w:bCs/>
          <w:color w:val="000000" w:themeColor="text1"/>
          <w:lang w:eastAsia="ru-RU"/>
        </w:rPr>
        <w:t xml:space="preserve">Пресс-служба </w:t>
      </w:r>
      <w:r>
        <w:rPr>
          <w:color w:val="000000"/>
        </w:rPr>
        <w:t xml:space="preserve">ФГУП «Почта России»: +7 495 956 99 62 </w:t>
      </w:r>
      <w:hyperlink r:id="rId8" w:history="1">
        <w:r w:rsidR="00EA01D4" w:rsidRPr="0095447F">
          <w:rPr>
            <w:rStyle w:val="a7"/>
            <w:lang w:val="en-US"/>
          </w:rPr>
          <w:t>press</w:t>
        </w:r>
        <w:r w:rsidR="00EA01D4" w:rsidRPr="00EA01D4">
          <w:rPr>
            <w:rStyle w:val="a7"/>
          </w:rPr>
          <w:t>_</w:t>
        </w:r>
        <w:r w:rsidR="00EA01D4" w:rsidRPr="0095447F">
          <w:rPr>
            <w:rStyle w:val="a7"/>
            <w:lang w:val="en-US"/>
          </w:rPr>
          <w:t>service</w:t>
        </w:r>
        <w:r w:rsidR="00EA01D4" w:rsidRPr="0095447F">
          <w:rPr>
            <w:rStyle w:val="a7"/>
          </w:rPr>
          <w:t>@</w:t>
        </w:r>
        <w:r w:rsidR="00EA01D4" w:rsidRPr="0095447F">
          <w:rPr>
            <w:rStyle w:val="a7"/>
            <w:lang w:val="en-US"/>
          </w:rPr>
          <w:t>russianpost</w:t>
        </w:r>
        <w:r w:rsidR="00EA01D4" w:rsidRPr="0095447F">
          <w:rPr>
            <w:rStyle w:val="a7"/>
          </w:rPr>
          <w:t>.</w:t>
        </w:r>
        <w:r w:rsidR="00EA01D4" w:rsidRPr="0095447F">
          <w:rPr>
            <w:rStyle w:val="a7"/>
            <w:lang w:val="en-US"/>
          </w:rPr>
          <w:t>ru</w:t>
        </w:r>
      </w:hyperlink>
      <w:r w:rsidRPr="00590E4C">
        <w:rPr>
          <w:color w:val="000000"/>
        </w:rPr>
        <w:t xml:space="preserve"> </w:t>
      </w: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36252"/>
    <w:rsid w:val="003A1215"/>
    <w:rsid w:val="00424E25"/>
    <w:rsid w:val="004865BD"/>
    <w:rsid w:val="00590E4C"/>
    <w:rsid w:val="005E1360"/>
    <w:rsid w:val="006502E0"/>
    <w:rsid w:val="006C750C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EA01D4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0B3E"/>
  <w15:docId w15:val="{5C22D452-B5A4-4CE5-A9CE-F6B62BEE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arte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4</cp:revision>
  <dcterms:created xsi:type="dcterms:W3CDTF">2018-07-03T06:32:00Z</dcterms:created>
  <dcterms:modified xsi:type="dcterms:W3CDTF">2018-07-03T07:21:00Z</dcterms:modified>
</cp:coreProperties>
</file>