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4DD10" w14:textId="2219E6A4" w:rsidR="003077D8" w:rsidRPr="003077D8" w:rsidRDefault="003077D8" w:rsidP="003077D8">
      <w:pPr>
        <w:spacing w:after="120" w:line="268" w:lineRule="auto"/>
        <w:jc w:val="center"/>
        <w:rPr>
          <w:b/>
        </w:rPr>
      </w:pPr>
      <w:r w:rsidRPr="003077D8">
        <w:rPr>
          <w:b/>
        </w:rPr>
        <w:t>В канун «Крымской весны» в «Артеке» прошел детский международный телемост</w:t>
      </w:r>
    </w:p>
    <w:p w14:paraId="56B1E756" w14:textId="5F1D99BF" w:rsidR="003077D8" w:rsidRDefault="003077D8" w:rsidP="003077D8">
      <w:pPr>
        <w:spacing w:after="120" w:line="268" w:lineRule="auto"/>
        <w:jc w:val="center"/>
      </w:pPr>
      <w:r>
        <w:t>16 марта 2022 года</w:t>
      </w:r>
    </w:p>
    <w:p w14:paraId="49916476" w14:textId="77777777" w:rsidR="003077D8" w:rsidRDefault="003077D8" w:rsidP="003077D8">
      <w:pPr>
        <w:spacing w:after="120" w:line="268" w:lineRule="auto"/>
        <w:jc w:val="both"/>
        <w:rPr>
          <w:b/>
        </w:rPr>
      </w:pPr>
      <w:r>
        <w:rPr>
          <w:b/>
        </w:rPr>
        <w:t>Ко Дню воссоединения Крыма с Россией в «Артеке» прошел телемост со Всероссийскими детскими центрами «Океан» во Владивостоке, «Орленком» и «Сменой» в Краснодарском крае. Также к событию присоединились активисты Российского движения школьников, дети из Белоруссии, Казахстана и Монголии. Подростки поговорили о том, что для них значат дружба, взаимовыручка и как важно понимать, что будущее нашей страны и всего мира зависит от каждого, в том числе от детей.</w:t>
      </w:r>
    </w:p>
    <w:p w14:paraId="69C7DECD" w14:textId="77777777" w:rsidR="003077D8" w:rsidRDefault="003077D8" w:rsidP="003077D8">
      <w:pPr>
        <w:spacing w:after="120" w:line="268" w:lineRule="auto"/>
        <w:jc w:val="both"/>
      </w:pPr>
      <w:r>
        <w:t>Телемост прошел в канун «Крымской весны», которая для всех россиян – символ объединения и дружбы народов России.</w:t>
      </w:r>
    </w:p>
    <w:p w14:paraId="33BB59CE" w14:textId="77777777" w:rsidR="003077D8" w:rsidRDefault="003077D8" w:rsidP="003077D8">
      <w:pPr>
        <w:spacing w:after="120" w:line="268" w:lineRule="auto"/>
        <w:jc w:val="both"/>
      </w:pPr>
      <w:r>
        <w:t xml:space="preserve">Участников телемоста приветствовала </w:t>
      </w:r>
      <w:r>
        <w:rPr>
          <w:b/>
        </w:rPr>
        <w:t>Соня Погосян</w:t>
      </w:r>
      <w:r>
        <w:t xml:space="preserve">, заместитель директора департамента государственной политики в сфере воспитания, дополнительного образования и детского отдыха </w:t>
      </w:r>
      <w:proofErr w:type="spellStart"/>
      <w:r>
        <w:t>Минпросвещения</w:t>
      </w:r>
      <w:proofErr w:type="spellEnd"/>
      <w:r>
        <w:t xml:space="preserve"> России: «Крымская весна стала символом единения многонационального народа России, восстановления исторической справедливости и надежды. Символично, что детская дипломатия началась в одном из самых больших детских центров в мире – в «Артеке». Ваши сверстники в 1983 году снизили накал «холодной войны», показали всему миру пример настоящей дружбы. В наше время «Артек» продолжает сохранять и укреплять давнюю традицию. И все детские центры, в какой бы стране они находились, поддерживают в сердце миротворческую миссию. Большая дипломатия ведет начало с диалога культур подлинного сотрудничества и сотворчества взрослых и детей».</w:t>
      </w:r>
    </w:p>
    <w:p w14:paraId="35710CED" w14:textId="77777777" w:rsidR="003077D8" w:rsidRDefault="003077D8" w:rsidP="003077D8">
      <w:pPr>
        <w:spacing w:after="120" w:line="268" w:lineRule="auto"/>
        <w:jc w:val="both"/>
      </w:pPr>
      <w:r>
        <w:t xml:space="preserve">Участники телемоста представили свое видение детской миротворческой миссии, предложили инициативы по укреплению гуманитарных связей между народами. Каждый детский центр выбрал своего героя, значимого для мира, страны, детского центра. Так, </w:t>
      </w:r>
      <w:proofErr w:type="spellStart"/>
      <w:r>
        <w:t>артековцы</w:t>
      </w:r>
      <w:proofErr w:type="spellEnd"/>
      <w:r>
        <w:t xml:space="preserve"> поделились со сверстниками историей американской школьницы </w:t>
      </w:r>
      <w:proofErr w:type="spellStart"/>
      <w:r>
        <w:t>Саманты</w:t>
      </w:r>
      <w:proofErr w:type="spellEnd"/>
      <w:r>
        <w:t xml:space="preserve"> Смит. </w:t>
      </w:r>
    </w:p>
    <w:p w14:paraId="4D09B8D0" w14:textId="77777777" w:rsidR="003077D8" w:rsidRDefault="003077D8" w:rsidP="003077D8">
      <w:pPr>
        <w:spacing w:after="120" w:line="268" w:lineRule="auto"/>
        <w:jc w:val="both"/>
      </w:pPr>
      <w:proofErr w:type="spellStart"/>
      <w:r>
        <w:t>Саманта</w:t>
      </w:r>
      <w:proofErr w:type="spellEnd"/>
      <w:r>
        <w:t xml:space="preserve"> Смит обратилась к руководителю СССР с вопросами, волновавшими многих в разгар холодной войны. По приглашению Андропова летом 1983 года она посетила Москву, Ленинград, побывала в «Артеке». Для всего мира юная американка стала послом доброй воли и открыла новую страницу в истории.</w:t>
      </w:r>
    </w:p>
    <w:p w14:paraId="0903DFCE" w14:textId="77777777" w:rsidR="003077D8" w:rsidRDefault="003077D8" w:rsidP="003077D8">
      <w:pPr>
        <w:spacing w:after="120" w:line="268" w:lineRule="auto"/>
        <w:jc w:val="both"/>
      </w:pPr>
      <w:r>
        <w:t xml:space="preserve">«Если люди всего мира будут жить так, как живут дети в «Артеке», тогда не будет вражды, не будет войны. Пусть все президенты и другие правители приезжают сюда учиться управлять миром», – говорила </w:t>
      </w:r>
      <w:proofErr w:type="spellStart"/>
      <w:r>
        <w:t>Саманта</w:t>
      </w:r>
      <w:proofErr w:type="spellEnd"/>
      <w:r>
        <w:t xml:space="preserve"> после посещения детского центра. Прощаясь с русскими друзьями, </w:t>
      </w:r>
      <w:proofErr w:type="spellStart"/>
      <w:r>
        <w:t>Саманта</w:t>
      </w:r>
      <w:proofErr w:type="spellEnd"/>
      <w:r>
        <w:t xml:space="preserve"> с трапа самолета на русском языке крикнула: «Будем жить!», даря людям надежду на счастливое, мирное будущее.</w:t>
      </w:r>
    </w:p>
    <w:p w14:paraId="74AD85F3" w14:textId="77777777" w:rsidR="003077D8" w:rsidRDefault="003077D8" w:rsidP="003077D8">
      <w:pPr>
        <w:pStyle w:val="af8"/>
        <w:contextualSpacing/>
        <w:jc w:val="both"/>
      </w:pPr>
      <w:r>
        <w:t xml:space="preserve">Также на телемосте прозвучали истории посла мира </w:t>
      </w:r>
      <w:r>
        <w:rPr>
          <w:b/>
        </w:rPr>
        <w:t xml:space="preserve">Кати </w:t>
      </w:r>
      <w:proofErr w:type="spellStart"/>
      <w:r>
        <w:rPr>
          <w:b/>
        </w:rPr>
        <w:t>Лычевой</w:t>
      </w:r>
      <w:proofErr w:type="spellEnd"/>
      <w:r>
        <w:t xml:space="preserve">, изобретателя и предпринимателя </w:t>
      </w:r>
      <w:proofErr w:type="spellStart"/>
      <w:r>
        <w:rPr>
          <w:b/>
        </w:rPr>
        <w:t>Бояна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Слата</w:t>
      </w:r>
      <w:proofErr w:type="spellEnd"/>
      <w:r>
        <w:rPr>
          <w:b/>
        </w:rPr>
        <w:t xml:space="preserve"> </w:t>
      </w:r>
      <w:r>
        <w:t>и</w:t>
      </w:r>
      <w:r>
        <w:rPr>
          <w:b/>
        </w:rPr>
        <w:t>,</w:t>
      </w:r>
      <w:r>
        <w:t xml:space="preserve"> что особенно важно, современников и ровесников ребят – </w:t>
      </w:r>
      <w:proofErr w:type="spellStart"/>
      <w:r>
        <w:t>крымчанки</w:t>
      </w:r>
      <w:proofErr w:type="spellEnd"/>
      <w:r>
        <w:t xml:space="preserve"> </w:t>
      </w:r>
      <w:r>
        <w:rPr>
          <w:b/>
        </w:rPr>
        <w:t>Лилии Глушко</w:t>
      </w:r>
      <w:r>
        <w:t xml:space="preserve">, которая увековечивает память предков в Великой Отечественной войне; белорусского школьника </w:t>
      </w:r>
      <w:r>
        <w:rPr>
          <w:b/>
        </w:rPr>
        <w:t xml:space="preserve">Романа </w:t>
      </w:r>
      <w:proofErr w:type="spellStart"/>
      <w:r>
        <w:rPr>
          <w:b/>
        </w:rPr>
        <w:t>Коготовского</w:t>
      </w:r>
      <w:proofErr w:type="spellEnd"/>
      <w:r>
        <w:t>, спасшего своего брата из огня; монгольского кадета</w:t>
      </w:r>
      <w:r>
        <w:rPr>
          <w:b/>
        </w:rPr>
        <w:t xml:space="preserve"> </w:t>
      </w:r>
      <w:proofErr w:type="spellStart"/>
      <w:r>
        <w:rPr>
          <w:b/>
        </w:rPr>
        <w:t>Даваасурэн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Хучитбаатар</w:t>
      </w:r>
      <w:proofErr w:type="spellEnd"/>
      <w:r>
        <w:t>, который помог эвакуироваться пассажирам горящего автобуса.</w:t>
      </w:r>
    </w:p>
    <w:p w14:paraId="3FF8AA3F" w14:textId="77777777" w:rsidR="003077D8" w:rsidRDefault="003077D8" w:rsidP="003077D8">
      <w:pPr>
        <w:pStyle w:val="af8"/>
        <w:contextualSpacing/>
        <w:jc w:val="both"/>
      </w:pPr>
    </w:p>
    <w:p w14:paraId="41A80D2D" w14:textId="77777777" w:rsidR="003077D8" w:rsidRDefault="003077D8" w:rsidP="003077D8">
      <w:pPr>
        <w:pStyle w:val="af8"/>
        <w:contextualSpacing/>
        <w:jc w:val="both"/>
      </w:pPr>
      <w:r>
        <w:t>По мнению участников телемоста, это истории настоящих героев, которые вдохновляют на смелые, созидательные поступки.</w:t>
      </w:r>
    </w:p>
    <w:p w14:paraId="670E4C77" w14:textId="0D9FA8DD" w:rsidR="003077D8" w:rsidRDefault="003077D8" w:rsidP="003077D8">
      <w:pPr>
        <w:spacing w:after="120" w:line="268" w:lineRule="auto"/>
        <w:jc w:val="both"/>
      </w:pPr>
      <w:r>
        <w:lastRenderedPageBreak/>
        <w:t>«Интересно было пообщаться с детьми из разных детских центров России и разных стран. Мы поделились с</w:t>
      </w:r>
      <w:r w:rsidR="00E17225">
        <w:t xml:space="preserve"> ребятами</w:t>
      </w:r>
      <w:r>
        <w:t xml:space="preserve"> историей </w:t>
      </w:r>
      <w:proofErr w:type="spellStart"/>
      <w:r>
        <w:t>Саманты</w:t>
      </w:r>
      <w:proofErr w:type="spellEnd"/>
      <w:r>
        <w:t xml:space="preserve"> Смит. Меня очень вдохновляет ее поступок. Думаю, что современные школьники также могут мно</w:t>
      </w:r>
      <w:bookmarkStart w:id="0" w:name="_GoBack"/>
      <w:bookmarkEnd w:id="0"/>
      <w:r>
        <w:t xml:space="preserve">гое делать для укрепления мира. Мы не должны следовать за чьим-то мнением, а спокойно налаживать отношения между людьми. Мы все разные, но цель у нас одна - мир во всем мире и дружба!» – поделилась </w:t>
      </w:r>
      <w:r>
        <w:rPr>
          <w:b/>
        </w:rPr>
        <w:t xml:space="preserve">Алина </w:t>
      </w:r>
      <w:proofErr w:type="spellStart"/>
      <w:r>
        <w:rPr>
          <w:b/>
        </w:rPr>
        <w:t>Марфицина</w:t>
      </w:r>
      <w:proofErr w:type="spellEnd"/>
      <w:r>
        <w:t xml:space="preserve"> из Кургана.</w:t>
      </w:r>
    </w:p>
    <w:p w14:paraId="2A985842" w14:textId="77777777" w:rsidR="003077D8" w:rsidRDefault="003077D8" w:rsidP="003077D8">
      <w:pPr>
        <w:spacing w:after="120" w:line="268" w:lineRule="auto"/>
        <w:jc w:val="both"/>
      </w:pPr>
      <w:r>
        <w:t>Школьники пришли к мнению, что современные дети могут внести вклад в сохранение мира: укреплять контакты между собой, учиться дружить, развенчивать предубеждения.</w:t>
      </w:r>
    </w:p>
    <w:p w14:paraId="317EAC73" w14:textId="77777777" w:rsidR="003077D8" w:rsidRDefault="003077D8" w:rsidP="003077D8">
      <w:pPr>
        <w:spacing w:after="120" w:line="268" w:lineRule="auto"/>
        <w:jc w:val="both"/>
      </w:pPr>
      <w:r>
        <w:t xml:space="preserve">Чтобы лучше узнать историю стран, </w:t>
      </w:r>
      <w:proofErr w:type="spellStart"/>
      <w:r>
        <w:t>артековцы</w:t>
      </w:r>
      <w:proofErr w:type="spellEnd"/>
      <w:r>
        <w:t xml:space="preserve"> предложили ровесникам разместить у себя на странице </w:t>
      </w:r>
      <w:proofErr w:type="spellStart"/>
      <w:r>
        <w:t>ВКонтакте</w:t>
      </w:r>
      <w:proofErr w:type="spellEnd"/>
      <w:r>
        <w:t xml:space="preserve"> посты с фотографиями об особенностях истории, культуры, традиций и праздников своего региона или страны под </w:t>
      </w:r>
      <w:proofErr w:type="spellStart"/>
      <w:r>
        <w:t>хештегом</w:t>
      </w:r>
      <w:proofErr w:type="spellEnd"/>
      <w:r>
        <w:t xml:space="preserve"> #</w:t>
      </w:r>
      <w:proofErr w:type="spellStart"/>
      <w:r>
        <w:t>МояПрекраснаяРодина</w:t>
      </w:r>
      <w:proofErr w:type="spellEnd"/>
      <w:r>
        <w:t>. И так показать, что Россия, Казахстан и Монголия – это созидающие страны, которые могут гордиться своими величайшими достижениями в науке, искусстве, спорте, гордиться своим уникальным прошлым и настоящим, своими гражданами.</w:t>
      </w:r>
    </w:p>
    <w:p w14:paraId="0E5000B6" w14:textId="42869977" w:rsidR="00AD503B" w:rsidRPr="005C431B" w:rsidRDefault="00AD503B" w:rsidP="0023545B">
      <w:pPr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21C72089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E17225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E17225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E17225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E17225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E17225" w:rsidP="002763DB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E17225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1F8E1EC3" w14:textId="77777777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2A3EF0BD" w14:textId="77777777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</w:p>
    <w:p w14:paraId="45886B15" w14:textId="10EE8911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524BB"/>
    <w:rsid w:val="00155592"/>
    <w:rsid w:val="00156865"/>
    <w:rsid w:val="00165A5F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B7824"/>
    <w:rsid w:val="002B7EB4"/>
    <w:rsid w:val="002C0A37"/>
    <w:rsid w:val="002C1CA7"/>
    <w:rsid w:val="002C3203"/>
    <w:rsid w:val="002C409D"/>
    <w:rsid w:val="002D37ED"/>
    <w:rsid w:val="002E2627"/>
    <w:rsid w:val="002F0A1E"/>
    <w:rsid w:val="002F469E"/>
    <w:rsid w:val="002F6D9D"/>
    <w:rsid w:val="00302FA4"/>
    <w:rsid w:val="00303AEF"/>
    <w:rsid w:val="00306C9A"/>
    <w:rsid w:val="003077D8"/>
    <w:rsid w:val="00310362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6D7C"/>
    <w:rsid w:val="004810BA"/>
    <w:rsid w:val="00482C55"/>
    <w:rsid w:val="00487773"/>
    <w:rsid w:val="004A66AD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A0F28"/>
    <w:rsid w:val="005A7C9B"/>
    <w:rsid w:val="005B5943"/>
    <w:rsid w:val="005C431B"/>
    <w:rsid w:val="005D34E8"/>
    <w:rsid w:val="005D5759"/>
    <w:rsid w:val="005E1A31"/>
    <w:rsid w:val="005F293E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6193"/>
    <w:rsid w:val="006C62FA"/>
    <w:rsid w:val="006D13C8"/>
    <w:rsid w:val="006D5892"/>
    <w:rsid w:val="006D5EB7"/>
    <w:rsid w:val="006F6B63"/>
    <w:rsid w:val="00707836"/>
    <w:rsid w:val="007135B8"/>
    <w:rsid w:val="00715F30"/>
    <w:rsid w:val="007235A1"/>
    <w:rsid w:val="00723F39"/>
    <w:rsid w:val="00735A52"/>
    <w:rsid w:val="0073706F"/>
    <w:rsid w:val="007423BB"/>
    <w:rsid w:val="00753392"/>
    <w:rsid w:val="007543C5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5164"/>
    <w:rsid w:val="009064EF"/>
    <w:rsid w:val="00906E3B"/>
    <w:rsid w:val="009076A6"/>
    <w:rsid w:val="009106B0"/>
    <w:rsid w:val="00916E6F"/>
    <w:rsid w:val="0093135E"/>
    <w:rsid w:val="00940EEB"/>
    <w:rsid w:val="00945D4A"/>
    <w:rsid w:val="00951AE2"/>
    <w:rsid w:val="009559EA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C36BC"/>
    <w:rsid w:val="00CD66B0"/>
    <w:rsid w:val="00CE2C1A"/>
    <w:rsid w:val="00CE57E9"/>
    <w:rsid w:val="00CF59C0"/>
    <w:rsid w:val="00D02914"/>
    <w:rsid w:val="00D02C3D"/>
    <w:rsid w:val="00D11141"/>
    <w:rsid w:val="00D127AF"/>
    <w:rsid w:val="00D13CD3"/>
    <w:rsid w:val="00D20AC8"/>
    <w:rsid w:val="00D25E20"/>
    <w:rsid w:val="00D32981"/>
    <w:rsid w:val="00D37790"/>
    <w:rsid w:val="00D42DC6"/>
    <w:rsid w:val="00D46715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C81"/>
    <w:rsid w:val="00E03EA7"/>
    <w:rsid w:val="00E13F5C"/>
    <w:rsid w:val="00E14F82"/>
    <w:rsid w:val="00E17225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3CB4"/>
    <w:rsid w:val="00E55A17"/>
    <w:rsid w:val="00E649E7"/>
    <w:rsid w:val="00E6669F"/>
    <w:rsid w:val="00E715D0"/>
    <w:rsid w:val="00E76571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9">
    <w:name w:val="Обычный (веб) Знак"/>
    <w:basedOn w:val="a0"/>
    <w:link w:val="af8"/>
    <w:uiPriority w:val="99"/>
    <w:locked/>
    <w:rsid w:val="00C47954"/>
  </w:style>
  <w:style w:type="character" w:styleId="afa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6192-88BB-4659-A09D-5DCD8D38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3</cp:revision>
  <cp:lastPrinted>2022-03-10T08:00:00Z</cp:lastPrinted>
  <dcterms:created xsi:type="dcterms:W3CDTF">2022-03-16T09:54:00Z</dcterms:created>
  <dcterms:modified xsi:type="dcterms:W3CDTF">2022-03-16T09:55:00Z</dcterms:modified>
</cp:coreProperties>
</file>